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FDEF" w14:textId="77777777" w:rsidR="00861F1B" w:rsidRDefault="00861F1B" w:rsidP="00210075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52A2F8B4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531496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>.</w:t>
      </w:r>
      <w:r w:rsidR="006305FE">
        <w:rPr>
          <w:b/>
          <w:sz w:val="20"/>
          <w:szCs w:val="20"/>
        </w:rPr>
        <w:t>10</w:t>
      </w:r>
      <w:r w:rsidR="0023280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202</w:t>
      </w:r>
      <w:r w:rsidR="0023280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5F9810FC" w14:textId="3176BA5F" w:rsidR="009B3E76" w:rsidRDefault="005D1371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BNP Paribas Faktoring i jego rola w handlu międzynarodowym</w:t>
      </w:r>
    </w:p>
    <w:p w14:paraId="1362321A" w14:textId="77777777" w:rsidR="00EE43E2" w:rsidRDefault="00EE43E2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</w:p>
    <w:p w14:paraId="6B3AEFDF" w14:textId="21EC2DFB" w:rsidR="00EE43E2" w:rsidRDefault="00EE43E2" w:rsidP="00EE43E2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EE43E2">
        <w:rPr>
          <w:rFonts w:cs="Calibri"/>
          <w:b/>
          <w:bCs/>
          <w:sz w:val="24"/>
          <w:szCs w:val="24"/>
        </w:rPr>
        <w:t>BNP Paribas Faktoring odgrywa kluczową rolę w handlu międzynarodowym, wspierając zarówno małe, jak i duże przedsiębiorstwa w zarządzaniu płynnością finansową oraz minimalizowaniu ryzyka związanego z transakcjami zagranicznymi. Jako część jednej z największych grup finansowych na świecie, firma oferuje szerokie portfolio usług faktoringowych, umożliwiając bezpieczne i szybkie realizowanie transakcji eksportowych oraz importowych.</w:t>
      </w:r>
    </w:p>
    <w:p w14:paraId="4FFF75BE" w14:textId="77777777" w:rsidR="00D62162" w:rsidRDefault="00D62162" w:rsidP="00EE43E2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528C71B6" w14:textId="65BBA9A8" w:rsidR="00D62162" w:rsidRDefault="00D62162" w:rsidP="00EE43E2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D62162">
        <w:rPr>
          <w:rFonts w:cs="Calibri"/>
          <w:sz w:val="24"/>
          <w:szCs w:val="24"/>
        </w:rPr>
        <w:t>Współczesny handel międzynarodowy wymaga elastyczności i skutecznych narzędzi finansowych, aby poradzić sobie z wyzwaniami, jak opóźnienia w płatnościach, ryzyko walutowe czy różnice w regulacjach prawnych. BNP Paribas Faktoring oferuje rozwiązania, które nie tylko zapewniają szybki dostęp do kapitału, ale także ochronę przed niewypłacalnością kontrahentów.</w:t>
      </w:r>
    </w:p>
    <w:p w14:paraId="21694B64" w14:textId="77777777" w:rsidR="00D62162" w:rsidRDefault="00D62162" w:rsidP="00EE43E2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7FDA0880" w14:textId="48EB90CC" w:rsidR="00D62162" w:rsidRDefault="00FD6D60" w:rsidP="00EE43E2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FD6D60">
        <w:rPr>
          <w:rFonts w:cs="Calibri"/>
          <w:i/>
          <w:iCs/>
          <w:sz w:val="24"/>
          <w:szCs w:val="24"/>
        </w:rPr>
        <w:t>Faktoring eksportowy jest narzędziem, które pozwala firmom na wcześniejsze uzyskanie środków z wystawionych faktur, nawet w ciągu dwóch godzin od wprowadzenia ich do naszego systemu. Globalna rozpoznawalność Grupy BNP Paribas przekłada się także na kwestie związane z windykacją, ponieważ niesie za sobą zdecydowanie większą moc dyscyplinującą kontrahentów. W ramach naszej grupy</w:t>
      </w:r>
      <w:r>
        <w:rPr>
          <w:rFonts w:cs="Calibri"/>
          <w:i/>
          <w:iCs/>
          <w:sz w:val="24"/>
          <w:szCs w:val="24"/>
        </w:rPr>
        <w:t>,</w:t>
      </w:r>
      <w:r w:rsidRPr="00FD6D60">
        <w:rPr>
          <w:rFonts w:cs="Calibri"/>
          <w:i/>
          <w:iCs/>
          <w:sz w:val="24"/>
          <w:szCs w:val="24"/>
        </w:rPr>
        <w:t xml:space="preserve"> jesteśmy obecni w 63 krajach, zapewniając klientom spokój i większą elastyczność w negocjacjach handlowych </w:t>
      </w:r>
      <w:r w:rsidR="00B60FBC">
        <w:rPr>
          <w:rFonts w:cs="Calibri"/>
          <w:i/>
          <w:iCs/>
          <w:sz w:val="24"/>
          <w:szCs w:val="24"/>
        </w:rPr>
        <w:t xml:space="preserve">– </w:t>
      </w:r>
      <w:r w:rsidR="00B60FBC">
        <w:rPr>
          <w:rFonts w:cs="Calibri"/>
          <w:sz w:val="24"/>
          <w:szCs w:val="24"/>
        </w:rPr>
        <w:t xml:space="preserve">mówi </w:t>
      </w:r>
      <w:r w:rsidR="00B60FBC" w:rsidRPr="00B60FBC">
        <w:rPr>
          <w:rFonts w:cs="Calibri"/>
          <w:b/>
          <w:bCs/>
          <w:sz w:val="24"/>
          <w:szCs w:val="24"/>
        </w:rPr>
        <w:t>Agnieszka Fieback,</w:t>
      </w:r>
      <w:r w:rsidR="00B60FBC">
        <w:rPr>
          <w:rFonts w:cs="Calibri"/>
          <w:sz w:val="24"/>
          <w:szCs w:val="24"/>
        </w:rPr>
        <w:t xml:space="preserve"> </w:t>
      </w:r>
      <w:r w:rsidR="00B60FBC" w:rsidRPr="00134FEF">
        <w:rPr>
          <w:rFonts w:cs="Calibri"/>
          <w:b/>
          <w:bCs/>
          <w:sz w:val="24"/>
          <w:szCs w:val="24"/>
        </w:rPr>
        <w:t>dyrektorka ds. sprzedaży faktoringu w BNP Paribas Faktoring.</w:t>
      </w:r>
    </w:p>
    <w:p w14:paraId="5BF5E4E6" w14:textId="77777777" w:rsidR="007C3B96" w:rsidRDefault="007C3B96" w:rsidP="00EE43E2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39E8D995" w14:textId="77777777" w:rsidR="007C3B96" w:rsidRPr="00B60FBC" w:rsidRDefault="007C3B96" w:rsidP="007C3B96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B60FBC">
        <w:rPr>
          <w:rFonts w:cs="Calibri"/>
          <w:sz w:val="24"/>
          <w:szCs w:val="24"/>
        </w:rPr>
        <w:t xml:space="preserve">Faktoring międzynarodowy to usługa finansowa, która wspiera przedsiębiorstwa w handlu zagranicznym, zapewniając im dostęp do natychmiastowej gotówki oraz minimalizując ryzyko związane z transakcjami eksportowymi i importowymi. Kluczowym aspektem tego rozwiązania jest możliwość szybkiego finansowania należności wynikających z wystawionych faktur zagranicznych, co poprawia płynność finansową przedsiębiorstwa. W ramach faktoringu międzynarodowego, firmy mogą również skorzystać z usług zarządzania wierzytelnościami, w tym windykacji w kraju kontrahenta, co ułatwia egzekwowanie płatności. Ważnym elementem jest także ochrona przed ryzykiem niewypłacalności odbiorcy, co stanowi istotne zabezpieczenie w obliczu niepewności na rynkach zagranicznych. Faktoring międzynarodowy oferowany przez duże instytucje zapewnia także dostęp do szerokiej sieci partnerów na całym świecie, co dodatkowo ułatwia obsługę transakcji handlowych </w:t>
      </w:r>
      <w:r>
        <w:rPr>
          <w:rFonts w:cs="Calibri"/>
          <w:sz w:val="24"/>
          <w:szCs w:val="24"/>
        </w:rPr>
        <w:t>w różnych krajach</w:t>
      </w:r>
      <w:r w:rsidRPr="00B60FBC">
        <w:rPr>
          <w:rFonts w:cs="Calibri"/>
          <w:sz w:val="24"/>
          <w:szCs w:val="24"/>
        </w:rPr>
        <w:t>.</w:t>
      </w:r>
    </w:p>
    <w:p w14:paraId="774CCEA6" w14:textId="77777777" w:rsidR="007C3B96" w:rsidRDefault="007C3B96" w:rsidP="00EE43E2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2A2DE22" w14:textId="75FA1B08" w:rsidR="00B60FBC" w:rsidRDefault="00B60FBC" w:rsidP="00B60FBC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B60FBC">
        <w:rPr>
          <w:rFonts w:cs="Calibri"/>
          <w:sz w:val="24"/>
          <w:szCs w:val="24"/>
        </w:rPr>
        <w:lastRenderedPageBreak/>
        <w:t>Dzięki przynależności do sieci Factors Chain International (FCI), BNP Paribas Faktoring ma dostęp do globalnej sieci, która umożliwia zarządzanie międzynarodowymi transakcjami faktoringowymi na całym świecie. W ten sposób może wspierać swoich klientów nie tylko na rynkach, na których działa bezpośrednio, ale również w krajach, w których współpracuje z lokalnymi partnerami.</w:t>
      </w:r>
      <w:r>
        <w:rPr>
          <w:rFonts w:cs="Calibri"/>
          <w:sz w:val="24"/>
          <w:szCs w:val="24"/>
        </w:rPr>
        <w:t xml:space="preserve"> </w:t>
      </w:r>
      <w:r w:rsidRPr="00B60FBC">
        <w:rPr>
          <w:rFonts w:cs="Calibri"/>
          <w:sz w:val="24"/>
          <w:szCs w:val="24"/>
        </w:rPr>
        <w:t>BNP Paribas Faktoring kładzie duży nacisk na dostosowanie swoich usług do potrzeb klientów w różnych branżach i na różnych rynkach. Oferta obejmuje zarówno tradycyjne rozwiązania faktoringowe, jak i bardziej złożone usługi dostosowane do specyficznych wymagań rynku oraz lokalnych przepisów. Dzięki temu klienci mogą liczyć na wsparcie w każdym aspekcie swojej działalności, od finansowania po zarządzanie ryzykiem i obsługę wierzytelności.</w:t>
      </w:r>
      <w:r w:rsidR="007C3B96">
        <w:rPr>
          <w:rFonts w:cs="Calibri"/>
          <w:sz w:val="24"/>
          <w:szCs w:val="24"/>
        </w:rPr>
        <w:t xml:space="preserve"> </w:t>
      </w:r>
      <w:r w:rsidRPr="00B60FBC">
        <w:rPr>
          <w:rFonts w:cs="Calibri"/>
          <w:sz w:val="24"/>
          <w:szCs w:val="24"/>
        </w:rPr>
        <w:t xml:space="preserve">W kontekście handlu międzynarodowego, faktoring jest narzędziem, które pozwala firmom na stabilny rozwój, niezależnie od złożoności rynków zagranicznych. </w:t>
      </w:r>
    </w:p>
    <w:p w14:paraId="343A5875" w14:textId="77777777" w:rsidR="00153076" w:rsidRPr="00DF7DE1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210075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210075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Pr="00B9218E">
          <w:rPr>
            <w:rStyle w:val="Hipercze"/>
            <w:b/>
            <w:sz w:val="20"/>
            <w:szCs w:val="20"/>
          </w:rPr>
          <w:t>www.faktoring.bnpparibas.pl</w:t>
        </w:r>
      </w:hyperlink>
      <w:r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268F4" w14:textId="77777777" w:rsidR="00C75F97" w:rsidRDefault="00C75F97" w:rsidP="007C430C">
      <w:pPr>
        <w:spacing w:after="0" w:line="240" w:lineRule="auto"/>
      </w:pPr>
      <w:r>
        <w:separator/>
      </w:r>
    </w:p>
  </w:endnote>
  <w:endnote w:type="continuationSeparator" w:id="0">
    <w:p w14:paraId="32E09C13" w14:textId="77777777" w:rsidR="00C75F97" w:rsidRDefault="00C75F97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C62B" w14:textId="77777777" w:rsidR="00C75F97" w:rsidRDefault="00C75F97" w:rsidP="007C430C">
      <w:pPr>
        <w:spacing w:after="0" w:line="240" w:lineRule="auto"/>
      </w:pPr>
      <w:r>
        <w:separator/>
      </w:r>
    </w:p>
  </w:footnote>
  <w:footnote w:type="continuationSeparator" w:id="0">
    <w:p w14:paraId="7F5D76D4" w14:textId="77777777" w:rsidR="00C75F97" w:rsidRDefault="00C75F97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112D8"/>
    <w:rsid w:val="00027152"/>
    <w:rsid w:val="00032CB3"/>
    <w:rsid w:val="00051D9D"/>
    <w:rsid w:val="00052D6A"/>
    <w:rsid w:val="0005686E"/>
    <w:rsid w:val="00060453"/>
    <w:rsid w:val="00062187"/>
    <w:rsid w:val="000659DA"/>
    <w:rsid w:val="000B3BB9"/>
    <w:rsid w:val="000B486F"/>
    <w:rsid w:val="000B73EC"/>
    <w:rsid w:val="000E0E4F"/>
    <w:rsid w:val="000E1D5D"/>
    <w:rsid w:val="000E44F0"/>
    <w:rsid w:val="00100274"/>
    <w:rsid w:val="0010191C"/>
    <w:rsid w:val="001021FC"/>
    <w:rsid w:val="00124090"/>
    <w:rsid w:val="00134FEF"/>
    <w:rsid w:val="00141BAD"/>
    <w:rsid w:val="00144540"/>
    <w:rsid w:val="00153076"/>
    <w:rsid w:val="00157CAF"/>
    <w:rsid w:val="00161687"/>
    <w:rsid w:val="001662C7"/>
    <w:rsid w:val="0018583B"/>
    <w:rsid w:val="0019498E"/>
    <w:rsid w:val="001A78B9"/>
    <w:rsid w:val="001D5A11"/>
    <w:rsid w:val="001D6E61"/>
    <w:rsid w:val="001D716F"/>
    <w:rsid w:val="001D76B7"/>
    <w:rsid w:val="001E1C13"/>
    <w:rsid w:val="001E26C3"/>
    <w:rsid w:val="001F7380"/>
    <w:rsid w:val="002070FE"/>
    <w:rsid w:val="00210075"/>
    <w:rsid w:val="00216D49"/>
    <w:rsid w:val="0022109C"/>
    <w:rsid w:val="00222A28"/>
    <w:rsid w:val="002231DA"/>
    <w:rsid w:val="00232807"/>
    <w:rsid w:val="00232AE6"/>
    <w:rsid w:val="00234E31"/>
    <w:rsid w:val="00246D81"/>
    <w:rsid w:val="00285523"/>
    <w:rsid w:val="002923D2"/>
    <w:rsid w:val="002938B1"/>
    <w:rsid w:val="002A3F41"/>
    <w:rsid w:val="002B02AD"/>
    <w:rsid w:val="002B10F8"/>
    <w:rsid w:val="002C4837"/>
    <w:rsid w:val="002D4A91"/>
    <w:rsid w:val="00315304"/>
    <w:rsid w:val="00317E41"/>
    <w:rsid w:val="003201AB"/>
    <w:rsid w:val="0032691B"/>
    <w:rsid w:val="00327202"/>
    <w:rsid w:val="00333E89"/>
    <w:rsid w:val="00346382"/>
    <w:rsid w:val="003469BC"/>
    <w:rsid w:val="00352BEF"/>
    <w:rsid w:val="00377188"/>
    <w:rsid w:val="003A48F5"/>
    <w:rsid w:val="003A513F"/>
    <w:rsid w:val="003A610B"/>
    <w:rsid w:val="003B4023"/>
    <w:rsid w:val="003C101F"/>
    <w:rsid w:val="003C74E7"/>
    <w:rsid w:val="003D667F"/>
    <w:rsid w:val="003F56D2"/>
    <w:rsid w:val="004011A4"/>
    <w:rsid w:val="00424D40"/>
    <w:rsid w:val="00432FAD"/>
    <w:rsid w:val="00440852"/>
    <w:rsid w:val="00440995"/>
    <w:rsid w:val="00461A10"/>
    <w:rsid w:val="00462673"/>
    <w:rsid w:val="00463AE2"/>
    <w:rsid w:val="00472753"/>
    <w:rsid w:val="00490797"/>
    <w:rsid w:val="004A784F"/>
    <w:rsid w:val="004B04A1"/>
    <w:rsid w:val="004D2C3B"/>
    <w:rsid w:val="004D6519"/>
    <w:rsid w:val="004E0B10"/>
    <w:rsid w:val="004E4F10"/>
    <w:rsid w:val="004F1CB4"/>
    <w:rsid w:val="004F6904"/>
    <w:rsid w:val="00511FA8"/>
    <w:rsid w:val="00512E82"/>
    <w:rsid w:val="005278B2"/>
    <w:rsid w:val="00531496"/>
    <w:rsid w:val="00534301"/>
    <w:rsid w:val="00560E4B"/>
    <w:rsid w:val="005618DA"/>
    <w:rsid w:val="00561AC0"/>
    <w:rsid w:val="005A21F4"/>
    <w:rsid w:val="005A3AA2"/>
    <w:rsid w:val="005D1371"/>
    <w:rsid w:val="005E1329"/>
    <w:rsid w:val="005E48E2"/>
    <w:rsid w:val="005F0000"/>
    <w:rsid w:val="005F50C8"/>
    <w:rsid w:val="00604A56"/>
    <w:rsid w:val="006305FE"/>
    <w:rsid w:val="00634120"/>
    <w:rsid w:val="006502A9"/>
    <w:rsid w:val="0066613A"/>
    <w:rsid w:val="00693D58"/>
    <w:rsid w:val="0069585A"/>
    <w:rsid w:val="006A63A2"/>
    <w:rsid w:val="006B730C"/>
    <w:rsid w:val="006C491D"/>
    <w:rsid w:val="006C4AFE"/>
    <w:rsid w:val="006C7CCB"/>
    <w:rsid w:val="006C7E2D"/>
    <w:rsid w:val="006D0730"/>
    <w:rsid w:val="006E5C6C"/>
    <w:rsid w:val="006F3078"/>
    <w:rsid w:val="00700A11"/>
    <w:rsid w:val="00713295"/>
    <w:rsid w:val="00730A60"/>
    <w:rsid w:val="007405E4"/>
    <w:rsid w:val="00742610"/>
    <w:rsid w:val="00755CA2"/>
    <w:rsid w:val="00764C2E"/>
    <w:rsid w:val="00772BEE"/>
    <w:rsid w:val="00773091"/>
    <w:rsid w:val="00777026"/>
    <w:rsid w:val="0078721D"/>
    <w:rsid w:val="007A0FDF"/>
    <w:rsid w:val="007A5718"/>
    <w:rsid w:val="007A7ECA"/>
    <w:rsid w:val="007B1149"/>
    <w:rsid w:val="007B1B6D"/>
    <w:rsid w:val="007C0779"/>
    <w:rsid w:val="007C142B"/>
    <w:rsid w:val="007C3B96"/>
    <w:rsid w:val="007C430C"/>
    <w:rsid w:val="007E16B5"/>
    <w:rsid w:val="007E1739"/>
    <w:rsid w:val="008135A8"/>
    <w:rsid w:val="0081421D"/>
    <w:rsid w:val="00844DBA"/>
    <w:rsid w:val="008457E7"/>
    <w:rsid w:val="00847760"/>
    <w:rsid w:val="00861F1B"/>
    <w:rsid w:val="00890B42"/>
    <w:rsid w:val="008B223C"/>
    <w:rsid w:val="008C454C"/>
    <w:rsid w:val="008D1F29"/>
    <w:rsid w:val="008D4A2C"/>
    <w:rsid w:val="008F1CB6"/>
    <w:rsid w:val="00903301"/>
    <w:rsid w:val="0090387E"/>
    <w:rsid w:val="00915A30"/>
    <w:rsid w:val="00946C7B"/>
    <w:rsid w:val="00975CC8"/>
    <w:rsid w:val="00993314"/>
    <w:rsid w:val="009B1B51"/>
    <w:rsid w:val="009B3E76"/>
    <w:rsid w:val="009C25C5"/>
    <w:rsid w:val="009D2B35"/>
    <w:rsid w:val="009D7209"/>
    <w:rsid w:val="00A07567"/>
    <w:rsid w:val="00A15E5D"/>
    <w:rsid w:val="00A25F28"/>
    <w:rsid w:val="00A7174B"/>
    <w:rsid w:val="00A745DF"/>
    <w:rsid w:val="00A74833"/>
    <w:rsid w:val="00A87C9D"/>
    <w:rsid w:val="00A930A8"/>
    <w:rsid w:val="00AA2DD6"/>
    <w:rsid w:val="00AB3E8E"/>
    <w:rsid w:val="00AC753B"/>
    <w:rsid w:val="00AD31BC"/>
    <w:rsid w:val="00AF130F"/>
    <w:rsid w:val="00AF60B7"/>
    <w:rsid w:val="00B0086E"/>
    <w:rsid w:val="00B00E1B"/>
    <w:rsid w:val="00B03CAE"/>
    <w:rsid w:val="00B12F51"/>
    <w:rsid w:val="00B14A06"/>
    <w:rsid w:val="00B43AB5"/>
    <w:rsid w:val="00B5577E"/>
    <w:rsid w:val="00B60FBC"/>
    <w:rsid w:val="00B62536"/>
    <w:rsid w:val="00B865EC"/>
    <w:rsid w:val="00BB3ED3"/>
    <w:rsid w:val="00BC4CCD"/>
    <w:rsid w:val="00BC61E1"/>
    <w:rsid w:val="00BE6D57"/>
    <w:rsid w:val="00BF3867"/>
    <w:rsid w:val="00BF6AD9"/>
    <w:rsid w:val="00BF7B67"/>
    <w:rsid w:val="00C010E4"/>
    <w:rsid w:val="00C11CA3"/>
    <w:rsid w:val="00C267ED"/>
    <w:rsid w:val="00C37B53"/>
    <w:rsid w:val="00C46452"/>
    <w:rsid w:val="00C56CCC"/>
    <w:rsid w:val="00C6374C"/>
    <w:rsid w:val="00C75F97"/>
    <w:rsid w:val="00C7722F"/>
    <w:rsid w:val="00C82978"/>
    <w:rsid w:val="00C82989"/>
    <w:rsid w:val="00CE6CF2"/>
    <w:rsid w:val="00CE7194"/>
    <w:rsid w:val="00D016B7"/>
    <w:rsid w:val="00D3635E"/>
    <w:rsid w:val="00D408C6"/>
    <w:rsid w:val="00D5465C"/>
    <w:rsid w:val="00D546EB"/>
    <w:rsid w:val="00D56970"/>
    <w:rsid w:val="00D62162"/>
    <w:rsid w:val="00D738DF"/>
    <w:rsid w:val="00D74176"/>
    <w:rsid w:val="00D77924"/>
    <w:rsid w:val="00D82815"/>
    <w:rsid w:val="00D8426B"/>
    <w:rsid w:val="00D93D7A"/>
    <w:rsid w:val="00DC1155"/>
    <w:rsid w:val="00DE0E30"/>
    <w:rsid w:val="00DF7DE1"/>
    <w:rsid w:val="00E01684"/>
    <w:rsid w:val="00E30266"/>
    <w:rsid w:val="00E47619"/>
    <w:rsid w:val="00E713F8"/>
    <w:rsid w:val="00E7313C"/>
    <w:rsid w:val="00E84B44"/>
    <w:rsid w:val="00E8554B"/>
    <w:rsid w:val="00EA261D"/>
    <w:rsid w:val="00EB035D"/>
    <w:rsid w:val="00EE43E2"/>
    <w:rsid w:val="00EF27D2"/>
    <w:rsid w:val="00EF538D"/>
    <w:rsid w:val="00EF7984"/>
    <w:rsid w:val="00F0114B"/>
    <w:rsid w:val="00F05F8E"/>
    <w:rsid w:val="00F10EFE"/>
    <w:rsid w:val="00F128FE"/>
    <w:rsid w:val="00F30D5E"/>
    <w:rsid w:val="00F509B5"/>
    <w:rsid w:val="00F60007"/>
    <w:rsid w:val="00F659E7"/>
    <w:rsid w:val="00F73130"/>
    <w:rsid w:val="00F76180"/>
    <w:rsid w:val="00FB2596"/>
    <w:rsid w:val="00FD1555"/>
    <w:rsid w:val="00FD637E"/>
    <w:rsid w:val="00FD6D60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4764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8</cp:revision>
  <dcterms:created xsi:type="dcterms:W3CDTF">2024-09-24T10:41:00Z</dcterms:created>
  <dcterms:modified xsi:type="dcterms:W3CDTF">2024-10-07T13:36:00Z</dcterms:modified>
</cp:coreProperties>
</file>